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DFEA7" w14:textId="77777777" w:rsidR="00F912AD" w:rsidRDefault="00E34E1D">
      <w:pPr>
        <w:pStyle w:val="1"/>
        <w:numPr>
          <w:ilvl w:val="255"/>
          <w:numId w:val="0"/>
        </w:numPr>
        <w:tabs>
          <w:tab w:val="left" w:pos="603"/>
        </w:tabs>
        <w:spacing w:line="560" w:lineRule="exact"/>
        <w:jc w:val="center"/>
        <w:rPr>
          <w:rFonts w:ascii="方正小标宋简体" w:eastAsia="方正小标宋简体" w:hAnsi="黑体" w:cstheme="minorBidi"/>
          <w:sz w:val="36"/>
          <w:szCs w:val="36"/>
        </w:rPr>
      </w:pPr>
      <w:r>
        <w:rPr>
          <w:rFonts w:ascii="方正小标宋简体" w:eastAsia="方正小标宋简体" w:hAnsi="黑体" w:cstheme="minorBidi" w:hint="eastAsia"/>
          <w:sz w:val="36"/>
          <w:szCs w:val="36"/>
        </w:rPr>
        <w:t>抗击疫情尽显责任担当</w:t>
      </w:r>
    </w:p>
    <w:p w14:paraId="742F2648" w14:textId="77777777" w:rsidR="00F912AD" w:rsidRDefault="00E34E1D">
      <w:pPr>
        <w:pStyle w:val="1"/>
        <w:numPr>
          <w:ilvl w:val="255"/>
          <w:numId w:val="0"/>
        </w:numPr>
        <w:tabs>
          <w:tab w:val="left" w:pos="603"/>
        </w:tabs>
        <w:spacing w:line="560" w:lineRule="exact"/>
        <w:jc w:val="center"/>
        <w:rPr>
          <w:rFonts w:ascii="方正小标宋简体" w:eastAsia="方正小标宋简体" w:hAnsi="黑体" w:cstheme="minorBidi"/>
          <w:sz w:val="36"/>
          <w:szCs w:val="36"/>
        </w:rPr>
      </w:pPr>
      <w:r>
        <w:rPr>
          <w:rFonts w:ascii="方正小标宋简体" w:eastAsia="方正小标宋简体" w:hAnsi="黑体" w:cstheme="minorBidi" w:hint="eastAsia"/>
          <w:sz w:val="36"/>
          <w:szCs w:val="36"/>
        </w:rPr>
        <w:t>—中粮期货肇东医用酒精成本保险项目案例</w:t>
      </w:r>
    </w:p>
    <w:p w14:paraId="4FDC7B49" w14:textId="77777777" w:rsidR="00F912AD" w:rsidRDefault="00F912AD">
      <w:pPr>
        <w:pStyle w:val="1"/>
        <w:numPr>
          <w:ilvl w:val="255"/>
          <w:numId w:val="0"/>
        </w:numPr>
        <w:tabs>
          <w:tab w:val="left" w:pos="603"/>
        </w:tabs>
        <w:spacing w:line="560" w:lineRule="exact"/>
        <w:jc w:val="center"/>
        <w:rPr>
          <w:rFonts w:ascii="方正小标宋简体" w:eastAsia="方正小标宋简体" w:hAnsi="黑体" w:cstheme="minorBidi"/>
          <w:sz w:val="36"/>
          <w:szCs w:val="36"/>
        </w:rPr>
      </w:pPr>
    </w:p>
    <w:p w14:paraId="58728559" w14:textId="77777777" w:rsidR="00F912AD" w:rsidRDefault="00F912AD"/>
    <w:p w14:paraId="3C727B67" w14:textId="77777777" w:rsidR="00F912AD" w:rsidRDefault="00E34E1D">
      <w:pPr>
        <w:pStyle w:val="1"/>
        <w:widowControl/>
        <w:numPr>
          <w:ilvl w:val="255"/>
          <w:numId w:val="0"/>
        </w:numPr>
        <w:shd w:val="clear" w:color="auto" w:fill="FFFFFF"/>
        <w:tabs>
          <w:tab w:val="left" w:pos="603"/>
        </w:tabs>
        <w:spacing w:afterLines="50" w:after="156" w:line="360" w:lineRule="auto"/>
        <w:ind w:firstLineChars="200" w:firstLine="560"/>
        <w:rPr>
          <w:rFonts w:ascii="黑体" w:eastAsia="黑体" w:hAnsi="黑体" w:cstheme="minorBidi"/>
          <w:sz w:val="28"/>
          <w:szCs w:val="28"/>
        </w:rPr>
      </w:pPr>
      <w:r>
        <w:rPr>
          <w:rFonts w:ascii="黑体" w:eastAsia="黑体" w:hAnsi="黑体" w:cstheme="minorBidi" w:hint="eastAsia"/>
          <w:sz w:val="28"/>
          <w:szCs w:val="28"/>
        </w:rPr>
        <w:t>一、项目背景</w:t>
      </w:r>
    </w:p>
    <w:p w14:paraId="0EF4F09E"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2020</w:t>
      </w:r>
      <w:r>
        <w:rPr>
          <w:rFonts w:asciiTheme="minorEastAsia" w:eastAsiaTheme="minorEastAsia" w:hAnsiTheme="minorEastAsia" w:cstheme="minorEastAsia" w:hint="eastAsia"/>
          <w:sz w:val="24"/>
          <w:szCs w:val="24"/>
          <w:lang w:eastAsia="zh-Hans"/>
        </w:rPr>
        <w:t>年初，</w:t>
      </w:r>
      <w:r>
        <w:rPr>
          <w:rFonts w:asciiTheme="minorEastAsia" w:eastAsiaTheme="minorEastAsia" w:hAnsiTheme="minorEastAsia" w:cstheme="minorEastAsia" w:hint="eastAsia"/>
          <w:sz w:val="24"/>
          <w:szCs w:val="24"/>
        </w:rPr>
        <w:t>受疫情影响，全国各地均面临着药品、口罩、消毒液等抗疫物资严重紧缺的局面。</w:t>
      </w:r>
      <w:r>
        <w:rPr>
          <w:rFonts w:asciiTheme="minorEastAsia" w:eastAsiaTheme="minorEastAsia" w:hAnsiTheme="minorEastAsia" w:cstheme="minorEastAsia" w:hint="eastAsia"/>
          <w:sz w:val="24"/>
          <w:szCs w:val="24"/>
          <w:lang w:eastAsia="zh-Hans"/>
        </w:rPr>
        <w:t>春节期间，</w:t>
      </w:r>
      <w:r>
        <w:rPr>
          <w:rFonts w:asciiTheme="minorEastAsia" w:eastAsiaTheme="minorEastAsia" w:hAnsiTheme="minorEastAsia" w:cstheme="minorEastAsia" w:hint="eastAsia"/>
          <w:sz w:val="24"/>
          <w:szCs w:val="24"/>
        </w:rPr>
        <w:t>国内新型冠状病毒肺炎疫情防控工作进入攻坚期，工业类大宗商品市场出现恐慌抛售，而玉米作为我国四大主粮之一，却因去库存明显，受到资金的追捧使</w:t>
      </w:r>
      <w:r>
        <w:rPr>
          <w:rFonts w:asciiTheme="minorEastAsia" w:eastAsiaTheme="minorEastAsia" w:hAnsiTheme="minorEastAsia" w:cstheme="minorEastAsia" w:hint="eastAsia"/>
          <w:sz w:val="24"/>
          <w:szCs w:val="24"/>
          <w:lang w:eastAsia="zh-Hans"/>
        </w:rPr>
        <w:t>其</w:t>
      </w:r>
      <w:r>
        <w:rPr>
          <w:rFonts w:asciiTheme="minorEastAsia" w:eastAsiaTheme="minorEastAsia" w:hAnsiTheme="minorEastAsia" w:cstheme="minorEastAsia" w:hint="eastAsia"/>
          <w:sz w:val="24"/>
          <w:szCs w:val="24"/>
        </w:rPr>
        <w:t>价格短期内大幅上涨，实体企业备货的积极性增加，带动医用酒精原料玉米价格显著上涨，导致企业采购成本普遍上升。</w:t>
      </w:r>
      <w:r>
        <w:rPr>
          <w:rFonts w:asciiTheme="minorEastAsia" w:eastAsiaTheme="minorEastAsia" w:hAnsiTheme="minorEastAsia" w:cstheme="minorEastAsia" w:hint="eastAsia"/>
          <w:sz w:val="24"/>
          <w:szCs w:val="24"/>
          <w:lang w:eastAsia="zh-Hans"/>
        </w:rPr>
        <w:t>此外，</w:t>
      </w:r>
      <w:r>
        <w:rPr>
          <w:rFonts w:asciiTheme="minorEastAsia" w:eastAsiaTheme="minorEastAsia" w:hAnsiTheme="minorEastAsia" w:cstheme="minorEastAsia" w:hint="eastAsia"/>
          <w:sz w:val="24"/>
          <w:szCs w:val="24"/>
        </w:rPr>
        <w:t>因医用酒精严重紧缺，酒精</w:t>
      </w:r>
      <w:r>
        <w:rPr>
          <w:rFonts w:asciiTheme="minorEastAsia" w:eastAsiaTheme="minorEastAsia" w:hAnsiTheme="minorEastAsia" w:cstheme="minorEastAsia" w:hint="eastAsia"/>
          <w:sz w:val="24"/>
          <w:szCs w:val="24"/>
          <w:lang w:eastAsia="zh-Hans"/>
        </w:rPr>
        <w:t>生产企业</w:t>
      </w:r>
      <w:r>
        <w:rPr>
          <w:rFonts w:asciiTheme="minorEastAsia" w:eastAsiaTheme="minorEastAsia" w:hAnsiTheme="minorEastAsia" w:cstheme="minorEastAsia" w:hint="eastAsia"/>
          <w:sz w:val="24"/>
          <w:szCs w:val="24"/>
        </w:rPr>
        <w:t>等实体企业备货难度同步加大。</w:t>
      </w:r>
    </w:p>
    <w:p w14:paraId="65BF9AD6" w14:textId="77777777" w:rsidR="00F912AD" w:rsidRDefault="00E34E1D" w:rsidP="000C1CE0">
      <w:pPr>
        <w:tabs>
          <w:tab w:val="left" w:pos="2534"/>
        </w:tabs>
        <w:spacing w:afterLines="50" w:after="156" w:line="312" w:lineRule="auto"/>
        <w:ind w:leftChars="100" w:left="210"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秉承“抗击疫情，尽责担当”的企业使命感和社会责任感，</w:t>
      </w:r>
      <w:r w:rsidR="00ED4F7F">
        <w:rPr>
          <w:rFonts w:asciiTheme="minorEastAsia" w:eastAsiaTheme="minorEastAsia" w:hAnsiTheme="minorEastAsia" w:cstheme="minorEastAsia" w:hint="eastAsia"/>
          <w:sz w:val="24"/>
          <w:szCs w:val="24"/>
        </w:rPr>
        <w:t>某生物</w:t>
      </w:r>
      <w:r>
        <w:rPr>
          <w:rFonts w:asciiTheme="minorEastAsia" w:eastAsiaTheme="minorEastAsia" w:hAnsiTheme="minorEastAsia" w:cstheme="minorEastAsia" w:hint="eastAsia"/>
          <w:sz w:val="24"/>
          <w:szCs w:val="24"/>
        </w:rPr>
        <w:t>公司（下称</w:t>
      </w:r>
      <w:r w:rsidR="00ED4F7F">
        <w:rPr>
          <w:rFonts w:asciiTheme="minorEastAsia" w:eastAsiaTheme="minorEastAsia" w:hAnsiTheme="minorEastAsia" w:cstheme="minorEastAsia" w:hint="eastAsia"/>
          <w:sz w:val="24"/>
          <w:szCs w:val="24"/>
        </w:rPr>
        <w:t>A公司</w:t>
      </w:r>
      <w:r>
        <w:rPr>
          <w:rFonts w:asciiTheme="minorEastAsia" w:eastAsiaTheme="minorEastAsia" w:hAnsiTheme="minorEastAsia" w:cstheme="minorEastAsia" w:hint="eastAsia"/>
          <w:sz w:val="24"/>
          <w:szCs w:val="24"/>
        </w:rPr>
        <w:t>）发挥自身优势，积极调整产能，加大医用酒精和消毒酒精产量，设法填补疫情防控期间的物资短缺。面对</w:t>
      </w:r>
      <w:r w:rsidR="00ED4F7F">
        <w:rPr>
          <w:rFonts w:asciiTheme="minorEastAsia" w:eastAsiaTheme="minorEastAsia" w:hAnsiTheme="minorEastAsia" w:cstheme="minorEastAsia" w:hint="eastAsia"/>
          <w:sz w:val="24"/>
          <w:szCs w:val="24"/>
        </w:rPr>
        <w:t>A公司</w:t>
      </w:r>
      <w:r>
        <w:rPr>
          <w:rFonts w:asciiTheme="minorEastAsia" w:eastAsiaTheme="minorEastAsia" w:hAnsiTheme="minorEastAsia" w:cstheme="minorEastAsia" w:hint="eastAsia"/>
          <w:sz w:val="24"/>
          <w:szCs w:val="24"/>
        </w:rPr>
        <w:t>在酒精生产过程中原材料价格</w:t>
      </w:r>
      <w:r>
        <w:rPr>
          <w:rFonts w:asciiTheme="minorEastAsia" w:eastAsiaTheme="minorEastAsia" w:hAnsiTheme="minorEastAsia" w:cstheme="minorEastAsia" w:hint="eastAsia"/>
          <w:sz w:val="24"/>
          <w:szCs w:val="24"/>
          <w:lang w:eastAsia="zh-Hans"/>
        </w:rPr>
        <w:t>的</w:t>
      </w:r>
      <w:r>
        <w:rPr>
          <w:rFonts w:asciiTheme="minorEastAsia" w:eastAsiaTheme="minorEastAsia" w:hAnsiTheme="minorEastAsia" w:cstheme="minorEastAsia" w:hint="eastAsia"/>
          <w:sz w:val="24"/>
          <w:szCs w:val="24"/>
        </w:rPr>
        <w:t>不稳定风险，中粮期货有限公司（下称中粮期货）通过其风险管理子公司作出快速响应，携手中国太平洋财产保险股份有限公司北京分公司</w:t>
      </w:r>
      <w:r w:rsidR="00F2423F">
        <w:rPr>
          <w:rFonts w:asciiTheme="minorEastAsia" w:eastAsiaTheme="minorEastAsia" w:hAnsiTheme="minorEastAsia" w:cstheme="minorEastAsia" w:hint="eastAsia"/>
          <w:sz w:val="24"/>
          <w:szCs w:val="24"/>
        </w:rPr>
        <w:t>（下称太平洋财险北分）</w:t>
      </w:r>
      <w:r>
        <w:rPr>
          <w:rFonts w:asciiTheme="minorEastAsia" w:eastAsiaTheme="minorEastAsia" w:hAnsiTheme="minorEastAsia" w:cstheme="minorEastAsia" w:hint="eastAsia"/>
          <w:sz w:val="24"/>
          <w:szCs w:val="24"/>
        </w:rPr>
        <w:t>，通过“保险+期货”的模式，与</w:t>
      </w:r>
      <w:r w:rsidR="00ED4F7F">
        <w:rPr>
          <w:rFonts w:asciiTheme="minorEastAsia" w:eastAsiaTheme="minorEastAsia" w:hAnsiTheme="minorEastAsia" w:cstheme="minorEastAsia" w:hint="eastAsia"/>
          <w:sz w:val="24"/>
          <w:szCs w:val="24"/>
        </w:rPr>
        <w:t>A公司</w:t>
      </w:r>
      <w:r>
        <w:rPr>
          <w:rFonts w:asciiTheme="minorEastAsia" w:eastAsiaTheme="minorEastAsia" w:hAnsiTheme="minorEastAsia" w:cstheme="minorEastAsia" w:hint="eastAsia"/>
          <w:sz w:val="24"/>
          <w:szCs w:val="24"/>
        </w:rPr>
        <w:t>紧密协同，免费为其医用酒精主要生产企业</w:t>
      </w:r>
      <w:r w:rsidR="00ED4F7F">
        <w:rPr>
          <w:rFonts w:asciiTheme="minorEastAsia" w:eastAsiaTheme="minorEastAsia" w:hAnsiTheme="minorEastAsia" w:cstheme="minorEastAsia" w:hint="eastAsia"/>
          <w:sz w:val="24"/>
          <w:szCs w:val="24"/>
        </w:rPr>
        <w:t>B</w:t>
      </w:r>
      <w:r>
        <w:rPr>
          <w:rFonts w:asciiTheme="minorEastAsia" w:eastAsiaTheme="minorEastAsia" w:hAnsiTheme="minorEastAsia" w:cstheme="minorEastAsia" w:hint="eastAsia"/>
          <w:sz w:val="24"/>
          <w:szCs w:val="24"/>
        </w:rPr>
        <w:t>公司提供风险管理服务，以规避部分生产原料市场价格波动导致的成本增加风险。</w:t>
      </w:r>
    </w:p>
    <w:p w14:paraId="02A401DA" w14:textId="77777777" w:rsidR="00F912AD" w:rsidRDefault="00E34E1D">
      <w:pPr>
        <w:pStyle w:val="1"/>
        <w:widowControl/>
        <w:numPr>
          <w:ilvl w:val="255"/>
          <w:numId w:val="0"/>
        </w:numPr>
        <w:shd w:val="clear" w:color="auto" w:fill="FFFFFF"/>
        <w:tabs>
          <w:tab w:val="left" w:pos="603"/>
        </w:tabs>
        <w:spacing w:afterLines="50" w:after="156" w:line="360" w:lineRule="auto"/>
        <w:ind w:firstLineChars="200" w:firstLine="560"/>
        <w:rPr>
          <w:rFonts w:ascii="黑体" w:eastAsia="黑体" w:hAnsi="黑体" w:cstheme="minorBidi"/>
          <w:sz w:val="28"/>
          <w:szCs w:val="28"/>
        </w:rPr>
      </w:pPr>
      <w:r>
        <w:rPr>
          <w:rFonts w:ascii="黑体" w:eastAsia="黑体" w:hAnsi="黑体" w:cstheme="minorBidi" w:hint="eastAsia"/>
          <w:sz w:val="28"/>
          <w:szCs w:val="28"/>
        </w:rPr>
        <w:t>二、服务方案与开展过程</w:t>
      </w:r>
    </w:p>
    <w:p w14:paraId="68E7B034" w14:textId="77777777" w:rsidR="00F912AD" w:rsidRDefault="00E34E1D">
      <w:pPr>
        <w:tabs>
          <w:tab w:val="left" w:pos="2534"/>
        </w:tabs>
        <w:spacing w:afterLines="50" w:after="156" w:line="360" w:lineRule="auto"/>
        <w:ind w:firstLineChars="200" w:firstLine="480"/>
        <w:rPr>
          <w:rFonts w:ascii="楷体" w:eastAsia="楷体" w:hAnsi="楷体" w:cs="楷体"/>
          <w:sz w:val="24"/>
          <w:szCs w:val="24"/>
        </w:rPr>
      </w:pPr>
      <w:r>
        <w:rPr>
          <w:rFonts w:ascii="楷体" w:eastAsia="楷体" w:hAnsi="楷体" w:cs="楷体" w:hint="eastAsia"/>
          <w:sz w:val="24"/>
          <w:szCs w:val="24"/>
        </w:rPr>
        <w:t>（一）参与对象介绍</w:t>
      </w:r>
    </w:p>
    <w:p w14:paraId="1B5FBAF3" w14:textId="77777777" w:rsidR="00F912AD" w:rsidRDefault="00ED4F7F">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A公司</w:t>
      </w:r>
      <w:r w:rsidR="00E34E1D">
        <w:rPr>
          <w:rFonts w:asciiTheme="minorEastAsia" w:eastAsiaTheme="minorEastAsia" w:hAnsiTheme="minorEastAsia" w:cstheme="minorEastAsia" w:hint="eastAsia"/>
          <w:sz w:val="24"/>
          <w:szCs w:val="24"/>
        </w:rPr>
        <w:t>是目前国内规模最大、技术领先的玉米深加工企业之一。旗下医用酒精生产企业</w:t>
      </w:r>
      <w:r>
        <w:rPr>
          <w:rFonts w:asciiTheme="minorEastAsia" w:eastAsiaTheme="minorEastAsia" w:hAnsiTheme="minorEastAsia" w:cstheme="minorEastAsia" w:hint="eastAsia"/>
          <w:sz w:val="24"/>
          <w:szCs w:val="24"/>
        </w:rPr>
        <w:t>B公司</w:t>
      </w:r>
      <w:r w:rsidR="00E34E1D">
        <w:rPr>
          <w:rFonts w:asciiTheme="minorEastAsia" w:eastAsiaTheme="minorEastAsia" w:hAnsiTheme="minorEastAsia" w:cstheme="minorEastAsia" w:hint="eastAsia"/>
          <w:sz w:val="24"/>
          <w:szCs w:val="24"/>
        </w:rPr>
        <w:t>始建于1993年，早在2001年便建成国内首条10万吨燃料酒精生产线，率先进入国家燃料生产领域，被国家发改委指定为黑龙江省独家供应燃料酒精的企业，是国家级农业产业化重点龙头企业。</w:t>
      </w:r>
      <w:r>
        <w:rPr>
          <w:rFonts w:asciiTheme="minorEastAsia" w:eastAsiaTheme="minorEastAsia" w:hAnsiTheme="minorEastAsia" w:cstheme="minorEastAsia" w:hint="eastAsia"/>
          <w:sz w:val="24"/>
          <w:szCs w:val="24"/>
        </w:rPr>
        <w:t>B公司</w:t>
      </w:r>
      <w:r w:rsidR="00E34E1D">
        <w:rPr>
          <w:rFonts w:asciiTheme="minorEastAsia" w:eastAsiaTheme="minorEastAsia" w:hAnsiTheme="minorEastAsia" w:cstheme="minorEastAsia" w:hint="eastAsia"/>
          <w:sz w:val="24"/>
          <w:szCs w:val="24"/>
        </w:rPr>
        <w:t>作为本项目的参保主体，本次参保共覆盖保障医用酒精数量为1000吨。</w:t>
      </w:r>
    </w:p>
    <w:p w14:paraId="4293B0A7"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bookmarkStart w:id="0" w:name="_Hlk69906299"/>
      <w:r>
        <w:rPr>
          <w:rFonts w:asciiTheme="minorEastAsia" w:eastAsiaTheme="minorEastAsia" w:hAnsiTheme="minorEastAsia" w:cstheme="minorEastAsia" w:hint="eastAsia"/>
          <w:sz w:val="24"/>
          <w:szCs w:val="24"/>
        </w:rPr>
        <w:t>中粮期货</w:t>
      </w:r>
      <w:bookmarkEnd w:id="0"/>
      <w:r>
        <w:rPr>
          <w:rFonts w:asciiTheme="minorEastAsia" w:eastAsiaTheme="minorEastAsia" w:hAnsiTheme="minorEastAsia" w:cstheme="minorEastAsia" w:hint="eastAsia"/>
          <w:sz w:val="24"/>
          <w:szCs w:val="24"/>
        </w:rPr>
        <w:t>是中粮集团金融专业化</w:t>
      </w:r>
      <w:r>
        <w:rPr>
          <w:rFonts w:asciiTheme="minorEastAsia" w:eastAsiaTheme="minorEastAsia" w:hAnsiTheme="minorEastAsia" w:cstheme="minorEastAsia"/>
          <w:sz w:val="24"/>
          <w:szCs w:val="24"/>
        </w:rPr>
        <w:t>公司</w:t>
      </w:r>
      <w:r>
        <w:rPr>
          <w:rFonts w:asciiTheme="minorEastAsia" w:eastAsiaTheme="minorEastAsia" w:hAnsiTheme="minorEastAsia" w:cstheme="minorEastAsia" w:hint="eastAsia"/>
          <w:sz w:val="24"/>
          <w:szCs w:val="24"/>
        </w:rPr>
        <w:t>成员，具有深厚的衍生品研究能力和丰富的服务经验，其风险管理子公司—</w:t>
      </w:r>
      <w:bookmarkStart w:id="1" w:name="_Hlk69906314"/>
      <w:r>
        <w:rPr>
          <w:rFonts w:asciiTheme="minorEastAsia" w:eastAsiaTheme="minorEastAsia" w:hAnsiTheme="minorEastAsia" w:cstheme="minorEastAsia" w:hint="eastAsia"/>
          <w:sz w:val="24"/>
          <w:szCs w:val="24"/>
        </w:rPr>
        <w:t>中粮祈德丰（北京）商贸有限公司</w:t>
      </w:r>
      <w:bookmarkEnd w:id="1"/>
      <w:r>
        <w:rPr>
          <w:rFonts w:asciiTheme="minorEastAsia" w:eastAsiaTheme="minorEastAsia" w:hAnsiTheme="minorEastAsia" w:cstheme="minorEastAsia" w:hint="eastAsia"/>
          <w:sz w:val="24"/>
          <w:szCs w:val="24"/>
        </w:rPr>
        <w:t>（下称中粮祈德丰商贸）具备开展场外期权的业务资格和专业的场外期权交易服务团队，建有成熟的场外衍生品运营管理体系。作为该项目的承办单位</w:t>
      </w:r>
      <w:r>
        <w:rPr>
          <w:rFonts w:asciiTheme="minorEastAsia" w:eastAsiaTheme="minorEastAsia" w:hAnsiTheme="minorEastAsia" w:cstheme="minorEastAsia" w:hint="eastAsia"/>
          <w:sz w:val="24"/>
          <w:szCs w:val="24"/>
          <w:lang w:eastAsia="zh-Hans"/>
        </w:rPr>
        <w:t>之一</w:t>
      </w:r>
      <w:r>
        <w:rPr>
          <w:rFonts w:asciiTheme="minorEastAsia" w:eastAsiaTheme="minorEastAsia" w:hAnsiTheme="minorEastAsia" w:cstheme="minorEastAsia" w:hint="eastAsia"/>
          <w:sz w:val="24"/>
          <w:szCs w:val="24"/>
        </w:rPr>
        <w:t>，中粮祈德丰</w:t>
      </w:r>
      <w:r>
        <w:rPr>
          <w:rFonts w:asciiTheme="minorEastAsia" w:eastAsiaTheme="minorEastAsia" w:hAnsiTheme="minorEastAsia" w:cstheme="minorEastAsia" w:hint="eastAsia"/>
          <w:sz w:val="24"/>
          <w:szCs w:val="24"/>
        </w:rPr>
        <w:lastRenderedPageBreak/>
        <w:t>商贸</w:t>
      </w:r>
      <w:r>
        <w:rPr>
          <w:rFonts w:asciiTheme="minorEastAsia" w:eastAsiaTheme="minorEastAsia" w:hAnsiTheme="minorEastAsia" w:cstheme="minorEastAsia" w:hint="eastAsia"/>
          <w:sz w:val="24"/>
          <w:szCs w:val="24"/>
          <w:lang w:eastAsia="zh-Hans"/>
        </w:rPr>
        <w:t>负责</w:t>
      </w:r>
      <w:r>
        <w:rPr>
          <w:rFonts w:asciiTheme="minorEastAsia" w:eastAsiaTheme="minorEastAsia" w:hAnsiTheme="minorEastAsia" w:cstheme="minorEastAsia" w:hint="eastAsia"/>
          <w:sz w:val="24"/>
          <w:szCs w:val="24"/>
        </w:rPr>
        <w:t>进行玉米价格变动的风险对冲。</w:t>
      </w:r>
    </w:p>
    <w:p w14:paraId="36ECCF3C" w14:textId="77777777" w:rsidR="00F912AD" w:rsidRDefault="00E34E1D">
      <w:pPr>
        <w:tabs>
          <w:tab w:val="left" w:pos="2534"/>
        </w:tabs>
        <w:spacing w:afterLines="50" w:after="156" w:line="360" w:lineRule="auto"/>
        <w:ind w:firstLineChars="200" w:firstLine="480"/>
        <w:rPr>
          <w:rFonts w:ascii="楷体" w:eastAsia="楷体" w:hAnsi="楷体" w:cs="楷体"/>
          <w:sz w:val="24"/>
          <w:szCs w:val="24"/>
        </w:rPr>
      </w:pPr>
      <w:r>
        <w:rPr>
          <w:rFonts w:ascii="楷体" w:eastAsia="楷体" w:hAnsi="楷体" w:cs="楷体" w:hint="eastAsia"/>
          <w:sz w:val="24"/>
          <w:szCs w:val="24"/>
        </w:rPr>
        <w:t>（二）项目实施情况</w:t>
      </w:r>
    </w:p>
    <w:p w14:paraId="35D6FF19"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中粮祈德丰商贸与太平洋财险北分共同设计并赠送</w:t>
      </w:r>
      <w:r w:rsidR="00ED4F7F">
        <w:rPr>
          <w:rFonts w:asciiTheme="minorEastAsia" w:eastAsiaTheme="minorEastAsia" w:hAnsiTheme="minorEastAsia" w:cstheme="minorEastAsia" w:hint="eastAsia"/>
          <w:sz w:val="24"/>
          <w:szCs w:val="24"/>
        </w:rPr>
        <w:t>B公司</w:t>
      </w:r>
      <w:r>
        <w:rPr>
          <w:rFonts w:asciiTheme="minorEastAsia" w:eastAsiaTheme="minorEastAsia" w:hAnsiTheme="minorEastAsia" w:cstheme="minorEastAsia" w:hint="eastAsia"/>
          <w:sz w:val="24"/>
          <w:szCs w:val="24"/>
        </w:rPr>
        <w:t>医用酒精成本价格保险，共覆盖保障医用酒精数量1000吨，相当于47万桶2500毫升医用酒精，按转化率</w:t>
      </w:r>
      <w:r>
        <w:rPr>
          <w:rFonts w:asciiTheme="minorEastAsia" w:eastAsiaTheme="minorEastAsia" w:hAnsiTheme="minorEastAsia" w:cstheme="minorEastAsia" w:hint="eastAsia"/>
          <w:sz w:val="24"/>
          <w:szCs w:val="24"/>
          <w:lang w:eastAsia="zh-Hans"/>
        </w:rPr>
        <w:t>计算</w:t>
      </w:r>
      <w:r>
        <w:rPr>
          <w:rFonts w:asciiTheme="minorEastAsia" w:eastAsiaTheme="minorEastAsia" w:hAnsiTheme="minorEastAsia" w:cstheme="minorEastAsia" w:hint="eastAsia"/>
          <w:sz w:val="24"/>
          <w:szCs w:val="24"/>
        </w:rPr>
        <w:t>，折合原材料玉米约3000吨。</w:t>
      </w:r>
    </w:p>
    <w:p w14:paraId="140534CE"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保险以大连商品交易所玉米合约C2005价格为参考依据，在保险期限内，若玉米期货价格出现上涨，则</w:t>
      </w:r>
      <w:r w:rsidR="00ED4F7F">
        <w:rPr>
          <w:rFonts w:asciiTheme="minorEastAsia" w:eastAsiaTheme="minorEastAsia" w:hAnsiTheme="minorEastAsia" w:cstheme="minorEastAsia" w:hint="eastAsia"/>
          <w:sz w:val="24"/>
          <w:szCs w:val="24"/>
        </w:rPr>
        <w:t>B公司</w:t>
      </w:r>
      <w:r>
        <w:rPr>
          <w:rFonts w:asciiTheme="minorEastAsia" w:eastAsiaTheme="minorEastAsia" w:hAnsiTheme="minorEastAsia" w:cstheme="minorEastAsia" w:hint="eastAsia"/>
          <w:sz w:val="24"/>
          <w:szCs w:val="24"/>
        </w:rPr>
        <w:t>可随时根据原材料采购情况进行理赔结算，理赔结算相应上涨部分造成的损失由保险公司通过理赔款收益划转至</w:t>
      </w:r>
      <w:r w:rsidR="00ED4F7F">
        <w:rPr>
          <w:rFonts w:asciiTheme="minorEastAsia" w:eastAsiaTheme="minorEastAsia" w:hAnsiTheme="minorEastAsia" w:cstheme="minorEastAsia" w:hint="eastAsia"/>
          <w:sz w:val="24"/>
          <w:szCs w:val="24"/>
        </w:rPr>
        <w:t>A公司</w:t>
      </w:r>
      <w:r>
        <w:rPr>
          <w:rFonts w:asciiTheme="minorEastAsia" w:eastAsiaTheme="minorEastAsia" w:hAnsiTheme="minorEastAsia" w:cstheme="minorEastAsia" w:hint="eastAsia"/>
          <w:sz w:val="24"/>
          <w:szCs w:val="24"/>
        </w:rPr>
        <w:t>。太平洋财险北分发挥创新优势，针对涉及抗“疫”保险启动创新产品申报绿色通道，迅速响应，相关保险于2020年2月18日完成出单。</w:t>
      </w:r>
    </w:p>
    <w:p w14:paraId="26C78AB2"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rPr>
        <w:t>场外期权产品具体要素见表1</w:t>
      </w:r>
      <w:r>
        <w:rPr>
          <w:rFonts w:asciiTheme="minorEastAsia" w:eastAsiaTheme="minorEastAsia" w:hAnsiTheme="minorEastAsia" w:cstheme="minorEastAsia" w:hint="eastAsia"/>
          <w:sz w:val="24"/>
          <w:szCs w:val="24"/>
          <w:lang w:eastAsia="zh-Hans"/>
        </w:rPr>
        <w:t>：</w:t>
      </w:r>
    </w:p>
    <w:p w14:paraId="5020898F" w14:textId="77777777" w:rsidR="00F912AD" w:rsidRDefault="00E34E1D">
      <w:pPr>
        <w:tabs>
          <w:tab w:val="left" w:pos="2534"/>
        </w:tabs>
        <w:spacing w:afterLines="50" w:after="156" w:line="312" w:lineRule="auto"/>
        <w:ind w:firstLineChars="200" w:firstLine="482"/>
        <w:jc w:val="center"/>
        <w:rPr>
          <w:rFonts w:asciiTheme="minorEastAsia" w:eastAsiaTheme="minorEastAsia" w:hAnsiTheme="minorEastAsia" w:cstheme="minorEastAsia"/>
          <w:b/>
          <w:bCs/>
          <w:sz w:val="24"/>
          <w:szCs w:val="24"/>
          <w:lang w:eastAsia="zh-Hans"/>
        </w:rPr>
      </w:pPr>
      <w:r>
        <w:rPr>
          <w:rFonts w:asciiTheme="minorEastAsia" w:eastAsiaTheme="minorEastAsia" w:hAnsiTheme="minorEastAsia" w:cstheme="minorEastAsia" w:hint="eastAsia"/>
          <w:b/>
          <w:bCs/>
          <w:sz w:val="24"/>
          <w:szCs w:val="24"/>
        </w:rPr>
        <w:t>表1  场外期权产品要素</w:t>
      </w:r>
    </w:p>
    <w:tbl>
      <w:tblPr>
        <w:tblpPr w:leftFromText="180" w:rightFromText="180" w:vertAnchor="text" w:horzAnchor="margin" w:tblpXSpec="center" w:tblpY="1"/>
        <w:tblW w:w="7605"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03"/>
        <w:gridCol w:w="4702"/>
      </w:tblGrid>
      <w:tr w:rsidR="00F912AD" w14:paraId="06AAEA62" w14:textId="77777777">
        <w:trPr>
          <w:trHeight w:val="285"/>
        </w:trPr>
        <w:tc>
          <w:tcPr>
            <w:tcW w:w="2903" w:type="dxa"/>
            <w:tcBorders>
              <w:tl2br w:val="nil"/>
              <w:tr2bl w:val="nil"/>
            </w:tcBorders>
            <w:vAlign w:val="bottom"/>
          </w:tcPr>
          <w:p w14:paraId="0B4A03F3"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期权类型</w:t>
            </w:r>
          </w:p>
        </w:tc>
        <w:tc>
          <w:tcPr>
            <w:tcW w:w="4702" w:type="dxa"/>
            <w:tcBorders>
              <w:tl2br w:val="nil"/>
              <w:tr2bl w:val="nil"/>
            </w:tcBorders>
            <w:vAlign w:val="bottom"/>
          </w:tcPr>
          <w:p w14:paraId="31864251"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美式看涨</w:t>
            </w:r>
          </w:p>
        </w:tc>
      </w:tr>
      <w:tr w:rsidR="00F912AD" w14:paraId="4E774D0D" w14:textId="77777777">
        <w:trPr>
          <w:trHeight w:val="285"/>
        </w:trPr>
        <w:tc>
          <w:tcPr>
            <w:tcW w:w="2903" w:type="dxa"/>
            <w:tcBorders>
              <w:tl2br w:val="nil"/>
              <w:tr2bl w:val="nil"/>
            </w:tcBorders>
            <w:vAlign w:val="bottom"/>
          </w:tcPr>
          <w:p w14:paraId="65EE539E"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期权标的</w:t>
            </w:r>
          </w:p>
        </w:tc>
        <w:tc>
          <w:tcPr>
            <w:tcW w:w="4702" w:type="dxa"/>
            <w:tcBorders>
              <w:tl2br w:val="nil"/>
              <w:tr2bl w:val="nil"/>
            </w:tcBorders>
            <w:vAlign w:val="bottom"/>
          </w:tcPr>
          <w:p w14:paraId="030AC013"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大连商品交易所玉米期货合约</w:t>
            </w:r>
          </w:p>
        </w:tc>
      </w:tr>
      <w:tr w:rsidR="00F912AD" w14:paraId="3341CB9E" w14:textId="77777777">
        <w:trPr>
          <w:trHeight w:val="285"/>
        </w:trPr>
        <w:tc>
          <w:tcPr>
            <w:tcW w:w="2903" w:type="dxa"/>
            <w:tcBorders>
              <w:tl2br w:val="nil"/>
              <w:tr2bl w:val="nil"/>
            </w:tcBorders>
            <w:vAlign w:val="bottom"/>
          </w:tcPr>
          <w:p w14:paraId="51D3D5BF"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标的代码</w:t>
            </w:r>
          </w:p>
        </w:tc>
        <w:tc>
          <w:tcPr>
            <w:tcW w:w="4702" w:type="dxa"/>
            <w:tcBorders>
              <w:tl2br w:val="nil"/>
              <w:tr2bl w:val="nil"/>
            </w:tcBorders>
            <w:vAlign w:val="bottom"/>
          </w:tcPr>
          <w:p w14:paraId="46BBF20E"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C2005</w:t>
            </w:r>
          </w:p>
        </w:tc>
      </w:tr>
      <w:tr w:rsidR="00F912AD" w14:paraId="048A558B" w14:textId="77777777">
        <w:trPr>
          <w:trHeight w:val="285"/>
        </w:trPr>
        <w:tc>
          <w:tcPr>
            <w:tcW w:w="2903" w:type="dxa"/>
            <w:tcBorders>
              <w:tl2br w:val="nil"/>
              <w:tr2bl w:val="nil"/>
            </w:tcBorders>
            <w:vAlign w:val="bottom"/>
          </w:tcPr>
          <w:p w14:paraId="7E2D3FA4"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起始日</w:t>
            </w:r>
          </w:p>
        </w:tc>
        <w:tc>
          <w:tcPr>
            <w:tcW w:w="4702" w:type="dxa"/>
            <w:tcBorders>
              <w:tl2br w:val="nil"/>
              <w:tr2bl w:val="nil"/>
            </w:tcBorders>
            <w:vAlign w:val="bottom"/>
          </w:tcPr>
          <w:p w14:paraId="28EF6F37"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2020年2月18日</w:t>
            </w:r>
          </w:p>
        </w:tc>
      </w:tr>
      <w:tr w:rsidR="00F912AD" w14:paraId="4AC2681E" w14:textId="77777777">
        <w:trPr>
          <w:trHeight w:val="285"/>
        </w:trPr>
        <w:tc>
          <w:tcPr>
            <w:tcW w:w="2903" w:type="dxa"/>
            <w:tcBorders>
              <w:tl2br w:val="nil"/>
              <w:tr2bl w:val="nil"/>
            </w:tcBorders>
            <w:vAlign w:val="bottom"/>
          </w:tcPr>
          <w:p w14:paraId="4A0070B0"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到期日</w:t>
            </w:r>
          </w:p>
        </w:tc>
        <w:tc>
          <w:tcPr>
            <w:tcW w:w="4702" w:type="dxa"/>
            <w:tcBorders>
              <w:tl2br w:val="nil"/>
              <w:tr2bl w:val="nil"/>
            </w:tcBorders>
            <w:vAlign w:val="bottom"/>
          </w:tcPr>
          <w:p w14:paraId="0DEFFCD0"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2020年3月17日</w:t>
            </w:r>
          </w:p>
        </w:tc>
      </w:tr>
      <w:tr w:rsidR="00F912AD" w14:paraId="6036EAE3" w14:textId="77777777">
        <w:trPr>
          <w:trHeight w:val="285"/>
        </w:trPr>
        <w:tc>
          <w:tcPr>
            <w:tcW w:w="2903" w:type="dxa"/>
            <w:tcBorders>
              <w:tl2br w:val="nil"/>
              <w:tr2bl w:val="nil"/>
            </w:tcBorders>
            <w:vAlign w:val="bottom"/>
          </w:tcPr>
          <w:p w14:paraId="1F21155A"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期权数量（吨）</w:t>
            </w:r>
          </w:p>
        </w:tc>
        <w:tc>
          <w:tcPr>
            <w:tcW w:w="4702" w:type="dxa"/>
            <w:tcBorders>
              <w:tl2br w:val="nil"/>
              <w:tr2bl w:val="nil"/>
            </w:tcBorders>
            <w:vAlign w:val="bottom"/>
          </w:tcPr>
          <w:p w14:paraId="533CD7FD"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3000</w:t>
            </w:r>
          </w:p>
        </w:tc>
      </w:tr>
      <w:tr w:rsidR="00F912AD" w14:paraId="43D05633" w14:textId="77777777">
        <w:trPr>
          <w:trHeight w:val="285"/>
        </w:trPr>
        <w:tc>
          <w:tcPr>
            <w:tcW w:w="2903" w:type="dxa"/>
            <w:tcBorders>
              <w:tl2br w:val="nil"/>
              <w:tr2bl w:val="nil"/>
            </w:tcBorders>
            <w:vAlign w:val="bottom"/>
          </w:tcPr>
          <w:p w14:paraId="35DDE879"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入场价格（元/吨）</w:t>
            </w:r>
          </w:p>
        </w:tc>
        <w:tc>
          <w:tcPr>
            <w:tcW w:w="4702" w:type="dxa"/>
            <w:tcBorders>
              <w:tl2br w:val="nil"/>
              <w:tr2bl w:val="nil"/>
            </w:tcBorders>
            <w:vAlign w:val="bottom"/>
          </w:tcPr>
          <w:p w14:paraId="1D2C33EA"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1918</w:t>
            </w:r>
          </w:p>
        </w:tc>
      </w:tr>
      <w:tr w:rsidR="00F912AD" w14:paraId="430C6205" w14:textId="77777777">
        <w:trPr>
          <w:trHeight w:val="285"/>
        </w:trPr>
        <w:tc>
          <w:tcPr>
            <w:tcW w:w="2903" w:type="dxa"/>
            <w:tcBorders>
              <w:tl2br w:val="nil"/>
              <w:tr2bl w:val="nil"/>
            </w:tcBorders>
            <w:vAlign w:val="center"/>
          </w:tcPr>
          <w:p w14:paraId="2A87B33A"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总权利金（元）</w:t>
            </w:r>
          </w:p>
        </w:tc>
        <w:tc>
          <w:tcPr>
            <w:tcW w:w="4702" w:type="dxa"/>
            <w:tcBorders>
              <w:tl2br w:val="nil"/>
              <w:tr2bl w:val="nil"/>
            </w:tcBorders>
            <w:vAlign w:val="bottom"/>
          </w:tcPr>
          <w:p w14:paraId="32F38399"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70020</w:t>
            </w:r>
          </w:p>
        </w:tc>
      </w:tr>
      <w:tr w:rsidR="00F912AD" w14:paraId="39133A95" w14:textId="77777777">
        <w:trPr>
          <w:trHeight w:val="285"/>
        </w:trPr>
        <w:tc>
          <w:tcPr>
            <w:tcW w:w="2903" w:type="dxa"/>
            <w:tcBorders>
              <w:tl2br w:val="nil"/>
              <w:tr2bl w:val="nil"/>
            </w:tcBorders>
            <w:vAlign w:val="center"/>
          </w:tcPr>
          <w:p w14:paraId="4D1920B3"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理赔条件</w:t>
            </w:r>
          </w:p>
        </w:tc>
        <w:tc>
          <w:tcPr>
            <w:tcW w:w="4702" w:type="dxa"/>
            <w:tcBorders>
              <w:tl2br w:val="nil"/>
              <w:tr2bl w:val="nil"/>
            </w:tcBorders>
            <w:vAlign w:val="bottom"/>
          </w:tcPr>
          <w:p w14:paraId="5808466C"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1.若结算价高于目标价格，则理赔金额=Max(结算价-目标价格,0)</w:t>
            </w:r>
          </w:p>
          <w:p w14:paraId="50827D71" w14:textId="77777777" w:rsidR="00F912AD" w:rsidRDefault="00E34E1D">
            <w:pPr>
              <w:widowControl/>
              <w:spacing w:afterLines="50" w:after="156"/>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2.若结算价低于或等于目标价格，不产生赔付</w:t>
            </w:r>
          </w:p>
        </w:tc>
      </w:tr>
    </w:tbl>
    <w:p w14:paraId="31BB3A80" w14:textId="77777777" w:rsidR="00F912AD" w:rsidRDefault="00F912AD">
      <w:pPr>
        <w:widowControl/>
        <w:spacing w:afterLines="50" w:after="156"/>
        <w:textAlignment w:val="center"/>
        <w:rPr>
          <w:rFonts w:ascii="等线" w:eastAsia="等线" w:hAnsi="等线" w:cs="等线"/>
          <w:color w:val="000000"/>
          <w:kern w:val="0"/>
          <w:sz w:val="22"/>
          <w:szCs w:val="22"/>
          <w:lang w:bidi="ar"/>
        </w:rPr>
      </w:pPr>
    </w:p>
    <w:p w14:paraId="76C00834"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该保险约定医用酒精生产成本价格为5754元/吨，对应玉米期货C2005合约执行价格为1918元/吨，合计保额575.4万元。保险责任期为2020年2月18日至2020年3月17日。总保费70020元由中粮祈德丰商贸</w:t>
      </w:r>
      <w:r w:rsidR="00F2423F">
        <w:rPr>
          <w:rFonts w:asciiTheme="minorEastAsia" w:eastAsiaTheme="minorEastAsia" w:hAnsiTheme="minorEastAsia" w:cstheme="minorEastAsia" w:hint="eastAsia"/>
          <w:sz w:val="24"/>
          <w:szCs w:val="24"/>
        </w:rPr>
        <w:t>及</w:t>
      </w:r>
      <w:r>
        <w:rPr>
          <w:rFonts w:asciiTheme="minorEastAsia" w:eastAsiaTheme="minorEastAsia" w:hAnsiTheme="minorEastAsia" w:cstheme="minorEastAsia" w:hint="eastAsia"/>
          <w:sz w:val="24"/>
          <w:szCs w:val="24"/>
        </w:rPr>
        <w:t>太平洋财险北分</w:t>
      </w:r>
      <w:r w:rsidR="00F2423F">
        <w:rPr>
          <w:rFonts w:asciiTheme="minorEastAsia" w:eastAsiaTheme="minorEastAsia" w:hAnsiTheme="minorEastAsia" w:cstheme="minorEastAsia" w:hint="eastAsia"/>
          <w:sz w:val="24"/>
          <w:szCs w:val="24"/>
        </w:rPr>
        <w:t>分别</w:t>
      </w:r>
      <w:r>
        <w:rPr>
          <w:rFonts w:asciiTheme="minorEastAsia" w:eastAsiaTheme="minorEastAsia" w:hAnsiTheme="minorEastAsia" w:cstheme="minorEastAsia" w:hint="eastAsia"/>
          <w:sz w:val="24"/>
          <w:szCs w:val="24"/>
        </w:rPr>
        <w:t>承担。太平洋财险北分收到保费并完成出单后，与中粮祈德丰商贸签订场外期权交易协议，购买70020元的玉米场外期权，中粮祈德丰商贸在期货市场建立相应头寸对冲价格风险。</w:t>
      </w:r>
    </w:p>
    <w:p w14:paraId="4007AC93"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截至2020年3月6日，参保企业根据经营情况提前点价完毕，并于2020年3月10日实现保障理赔。经结算，中粮祈德丰商贸向太平洋财险北分支付场外期权平仓金额90000元，由太平洋财险北分结算后赔付</w:t>
      </w:r>
      <w:r w:rsidR="00F2423F">
        <w:rPr>
          <w:rFonts w:asciiTheme="minorEastAsia" w:eastAsiaTheme="minorEastAsia" w:hAnsiTheme="minorEastAsia" w:cstheme="minorEastAsia" w:hint="eastAsia"/>
          <w:sz w:val="24"/>
          <w:szCs w:val="24"/>
        </w:rPr>
        <w:t>B公司</w:t>
      </w:r>
      <w:r>
        <w:rPr>
          <w:rFonts w:asciiTheme="minorEastAsia" w:eastAsiaTheme="minorEastAsia" w:hAnsiTheme="minorEastAsia" w:cstheme="minorEastAsia" w:hint="eastAsia"/>
          <w:sz w:val="24"/>
          <w:szCs w:val="24"/>
        </w:rPr>
        <w:t>。本次保险使得酒精成本平均降低了90元</w:t>
      </w:r>
      <w:r w:rsidR="00F2423F">
        <w:rPr>
          <w:rFonts w:asciiTheme="minorEastAsia" w:eastAsiaTheme="minorEastAsia" w:hAnsiTheme="minorEastAsia" w:cstheme="minorEastAsia" w:hint="eastAsia"/>
          <w:sz w:val="24"/>
          <w:szCs w:val="24"/>
        </w:rPr>
        <w:t>/吨</w:t>
      </w:r>
      <w:r>
        <w:rPr>
          <w:rFonts w:asciiTheme="minorEastAsia" w:eastAsiaTheme="minorEastAsia" w:hAnsiTheme="minorEastAsia" w:cstheme="minorEastAsia" w:hint="eastAsia"/>
          <w:sz w:val="24"/>
          <w:szCs w:val="24"/>
        </w:rPr>
        <w:t>，为参保企业降低采购成本</w:t>
      </w:r>
      <w:r>
        <w:rPr>
          <w:rFonts w:asciiTheme="minorEastAsia" w:eastAsiaTheme="minorEastAsia" w:hAnsiTheme="minorEastAsia" w:cstheme="minorEastAsia" w:hint="eastAsia"/>
          <w:sz w:val="24"/>
          <w:szCs w:val="24"/>
          <w:lang w:eastAsia="zh-Hans"/>
        </w:rPr>
        <w:t>约</w:t>
      </w:r>
      <w:r>
        <w:rPr>
          <w:rFonts w:asciiTheme="minorEastAsia" w:eastAsiaTheme="minorEastAsia" w:hAnsiTheme="minorEastAsia" w:cstheme="minorEastAsia" w:hint="eastAsia"/>
          <w:sz w:val="24"/>
          <w:szCs w:val="24"/>
        </w:rPr>
        <w:t>2%</w:t>
      </w:r>
      <w:r w:rsidR="00F2423F">
        <w:rPr>
          <w:rFonts w:asciiTheme="minorEastAsia" w:eastAsiaTheme="minorEastAsia" w:hAnsiTheme="minorEastAsia" w:cstheme="minorEastAsia" w:hint="eastAsia"/>
          <w:sz w:val="24"/>
          <w:szCs w:val="24"/>
        </w:rPr>
        <w:t>，成功规避了原料价格上涨风险</w:t>
      </w:r>
      <w:r>
        <w:rPr>
          <w:rFonts w:asciiTheme="minorEastAsia" w:eastAsiaTheme="minorEastAsia" w:hAnsiTheme="minorEastAsia" w:cstheme="minorEastAsia" w:hint="eastAsia"/>
          <w:sz w:val="24"/>
          <w:szCs w:val="24"/>
        </w:rPr>
        <w:t>。</w:t>
      </w:r>
    </w:p>
    <w:p w14:paraId="01745CA5" w14:textId="77777777" w:rsidR="00F912AD" w:rsidRDefault="00E34E1D">
      <w:pPr>
        <w:pStyle w:val="1"/>
        <w:widowControl/>
        <w:numPr>
          <w:ilvl w:val="255"/>
          <w:numId w:val="0"/>
        </w:numPr>
        <w:shd w:val="clear" w:color="auto" w:fill="FFFFFF"/>
        <w:tabs>
          <w:tab w:val="left" w:pos="603"/>
        </w:tabs>
        <w:spacing w:afterLines="50" w:after="156" w:line="360" w:lineRule="auto"/>
        <w:ind w:firstLineChars="200" w:firstLine="560"/>
        <w:rPr>
          <w:rFonts w:ascii="黑体" w:eastAsia="黑体" w:hAnsi="黑体" w:cstheme="minorBidi"/>
          <w:sz w:val="28"/>
          <w:szCs w:val="28"/>
        </w:rPr>
      </w:pPr>
      <w:r>
        <w:rPr>
          <w:rFonts w:ascii="黑体" w:eastAsia="黑体" w:hAnsi="黑体" w:cstheme="minorBidi" w:hint="eastAsia"/>
          <w:sz w:val="28"/>
          <w:szCs w:val="28"/>
        </w:rPr>
        <w:t>三、项目效果</w:t>
      </w:r>
    </w:p>
    <w:p w14:paraId="6812E63A"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中粮祈德丰商贸与太平洋财险北分在最短时间内完成保险</w:t>
      </w:r>
      <w:r>
        <w:rPr>
          <w:rFonts w:asciiTheme="minorEastAsia" w:eastAsiaTheme="minorEastAsia" w:hAnsiTheme="minorEastAsia" w:cstheme="minorEastAsia" w:hint="eastAsia"/>
          <w:sz w:val="24"/>
          <w:szCs w:val="24"/>
          <w:lang w:eastAsia="zh-Hans"/>
        </w:rPr>
        <w:t>出单</w:t>
      </w:r>
      <w:r>
        <w:rPr>
          <w:rFonts w:asciiTheme="minorEastAsia" w:eastAsiaTheme="minorEastAsia" w:hAnsiTheme="minorEastAsia" w:cstheme="minorEastAsia" w:hint="eastAsia"/>
          <w:sz w:val="24"/>
          <w:szCs w:val="24"/>
        </w:rPr>
        <w:t>，仅在30日内就完成出单理赔，为参保企业降低</w:t>
      </w:r>
      <w:r>
        <w:rPr>
          <w:rFonts w:asciiTheme="minorEastAsia" w:eastAsiaTheme="minorEastAsia" w:hAnsiTheme="minorEastAsia" w:cstheme="minorEastAsia" w:hint="eastAsia"/>
          <w:sz w:val="24"/>
          <w:szCs w:val="24"/>
          <w:lang w:eastAsia="zh-Hans"/>
        </w:rPr>
        <w:t>原材料</w:t>
      </w:r>
      <w:r>
        <w:rPr>
          <w:rFonts w:asciiTheme="minorEastAsia" w:eastAsiaTheme="minorEastAsia" w:hAnsiTheme="minorEastAsia" w:cstheme="minorEastAsia" w:hint="eastAsia"/>
          <w:sz w:val="24"/>
          <w:szCs w:val="24"/>
        </w:rPr>
        <w:t>采购成本2%，</w:t>
      </w:r>
      <w:r>
        <w:rPr>
          <w:rFonts w:asciiTheme="minorEastAsia" w:eastAsiaTheme="minorEastAsia" w:hAnsiTheme="minorEastAsia" w:cstheme="minorEastAsia" w:hint="eastAsia"/>
          <w:sz w:val="24"/>
          <w:szCs w:val="24"/>
          <w:lang w:eastAsia="zh-Hans"/>
        </w:rPr>
        <w:t>在一定程度上保障了酒精原材料的稳定供应，规避</w:t>
      </w:r>
      <w:r>
        <w:rPr>
          <w:rFonts w:asciiTheme="minorEastAsia" w:eastAsiaTheme="minorEastAsia" w:hAnsiTheme="minorEastAsia" w:cstheme="minorEastAsia" w:hint="eastAsia"/>
          <w:sz w:val="24"/>
          <w:szCs w:val="24"/>
        </w:rPr>
        <w:t>了</w:t>
      </w:r>
      <w:r>
        <w:rPr>
          <w:rFonts w:asciiTheme="minorEastAsia" w:eastAsiaTheme="minorEastAsia" w:hAnsiTheme="minorEastAsia" w:cstheme="minorEastAsia" w:hint="eastAsia"/>
          <w:sz w:val="24"/>
          <w:szCs w:val="24"/>
          <w:lang w:eastAsia="zh-Hans"/>
        </w:rPr>
        <w:t>生产</w:t>
      </w:r>
      <w:r>
        <w:rPr>
          <w:rFonts w:asciiTheme="minorEastAsia" w:eastAsiaTheme="minorEastAsia" w:hAnsiTheme="minorEastAsia" w:cstheme="minorEastAsia" w:hint="eastAsia"/>
          <w:sz w:val="24"/>
          <w:szCs w:val="24"/>
        </w:rPr>
        <w:t>企业在酒精生产过程中的原材料价格风险。</w:t>
      </w:r>
    </w:p>
    <w:p w14:paraId="3817396E"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项目的成功落地，切实响应了中粮集团</w:t>
      </w:r>
      <w:r w:rsidR="003A2DD2">
        <w:rPr>
          <w:rFonts w:asciiTheme="minorEastAsia" w:eastAsiaTheme="minorEastAsia" w:hAnsiTheme="minorEastAsia" w:cstheme="minorEastAsia" w:hint="eastAsia"/>
          <w:sz w:val="24"/>
          <w:szCs w:val="24"/>
        </w:rPr>
        <w:t>的</w:t>
      </w:r>
      <w:r>
        <w:rPr>
          <w:rFonts w:asciiTheme="minorEastAsia" w:eastAsiaTheme="minorEastAsia" w:hAnsiTheme="minorEastAsia" w:cstheme="minorEastAsia" w:hint="eastAsia"/>
          <w:sz w:val="24"/>
          <w:szCs w:val="24"/>
        </w:rPr>
        <w:t>号召，并发挥了金融衍生品专业</w:t>
      </w:r>
      <w:r w:rsidR="003A2DD2">
        <w:rPr>
          <w:rFonts w:asciiTheme="minorEastAsia" w:eastAsiaTheme="minorEastAsia" w:hAnsiTheme="minorEastAsia" w:cstheme="minorEastAsia" w:hint="eastAsia"/>
          <w:sz w:val="24"/>
          <w:szCs w:val="24"/>
        </w:rPr>
        <w:t>的服务</w:t>
      </w:r>
      <w:r>
        <w:rPr>
          <w:rFonts w:asciiTheme="minorEastAsia" w:eastAsiaTheme="minorEastAsia" w:hAnsiTheme="minorEastAsia" w:cstheme="minorEastAsia" w:hint="eastAsia"/>
          <w:sz w:val="24"/>
          <w:szCs w:val="24"/>
        </w:rPr>
        <w:t>能力与作用，帮助实体企业在疫情防控期间市场剧烈波动、复杂的环境下实现稳健经营。</w:t>
      </w:r>
      <w:r>
        <w:rPr>
          <w:rFonts w:asciiTheme="minorEastAsia" w:eastAsiaTheme="minorEastAsia" w:hAnsiTheme="minorEastAsia" w:cstheme="minorEastAsia" w:hint="eastAsia"/>
          <w:sz w:val="24"/>
          <w:szCs w:val="24"/>
          <w:lang w:eastAsia="zh-Hans"/>
        </w:rPr>
        <w:t>该项目被</w:t>
      </w:r>
      <w:r>
        <w:rPr>
          <w:rFonts w:asciiTheme="minorEastAsia" w:eastAsiaTheme="minorEastAsia" w:hAnsiTheme="minorEastAsia" w:cstheme="minorEastAsia" w:hint="eastAsia"/>
          <w:sz w:val="24"/>
          <w:szCs w:val="24"/>
        </w:rPr>
        <w:t>《农民日报》《中国证券报》</w:t>
      </w:r>
      <w:r>
        <w:rPr>
          <w:rFonts w:asciiTheme="minorEastAsia" w:eastAsiaTheme="minorEastAsia" w:hAnsiTheme="minorEastAsia" w:cstheme="minorEastAsia" w:hint="eastAsia"/>
          <w:sz w:val="24"/>
          <w:szCs w:val="24"/>
          <w:lang w:eastAsia="zh-Hans"/>
        </w:rPr>
        <w:t>《期货日报》《中国银行保险报》等业内媒体</w:t>
      </w:r>
      <w:r>
        <w:rPr>
          <w:rFonts w:asciiTheme="minorEastAsia" w:eastAsiaTheme="minorEastAsia" w:hAnsiTheme="minorEastAsia" w:cstheme="minorEastAsia" w:hint="eastAsia"/>
          <w:sz w:val="24"/>
          <w:szCs w:val="24"/>
        </w:rPr>
        <w:t>广泛</w:t>
      </w:r>
      <w:r>
        <w:rPr>
          <w:rFonts w:asciiTheme="minorEastAsia" w:eastAsiaTheme="minorEastAsia" w:hAnsiTheme="minorEastAsia" w:cstheme="minorEastAsia" w:hint="eastAsia"/>
          <w:sz w:val="24"/>
          <w:szCs w:val="24"/>
          <w:lang w:eastAsia="zh-Hans"/>
        </w:rPr>
        <w:t>宣传，获得了</w:t>
      </w:r>
      <w:r>
        <w:rPr>
          <w:rFonts w:asciiTheme="minorEastAsia" w:eastAsiaTheme="minorEastAsia" w:hAnsiTheme="minorEastAsia" w:cstheme="minorEastAsia" w:hint="eastAsia"/>
          <w:sz w:val="24"/>
          <w:szCs w:val="24"/>
        </w:rPr>
        <w:t>一致</w:t>
      </w:r>
      <w:r>
        <w:rPr>
          <w:rFonts w:asciiTheme="minorEastAsia" w:eastAsiaTheme="minorEastAsia" w:hAnsiTheme="minorEastAsia" w:cstheme="minorEastAsia" w:hint="eastAsia"/>
          <w:sz w:val="24"/>
          <w:szCs w:val="24"/>
          <w:lang w:eastAsia="zh-Hans"/>
        </w:rPr>
        <w:t>好评。</w:t>
      </w:r>
    </w:p>
    <w:p w14:paraId="6E0307A7" w14:textId="77777777" w:rsidR="00F912AD" w:rsidRDefault="00E34E1D">
      <w:pPr>
        <w:pStyle w:val="1"/>
        <w:widowControl/>
        <w:numPr>
          <w:ilvl w:val="255"/>
          <w:numId w:val="0"/>
        </w:numPr>
        <w:shd w:val="clear" w:color="auto" w:fill="FFFFFF"/>
        <w:tabs>
          <w:tab w:val="left" w:pos="603"/>
        </w:tabs>
        <w:spacing w:afterLines="50" w:after="156" w:line="360" w:lineRule="auto"/>
        <w:ind w:firstLineChars="200" w:firstLine="560"/>
        <w:rPr>
          <w:rFonts w:ascii="黑体" w:eastAsia="黑体" w:hAnsi="黑体" w:cstheme="minorBidi"/>
          <w:sz w:val="28"/>
          <w:szCs w:val="28"/>
        </w:rPr>
      </w:pPr>
      <w:r>
        <w:rPr>
          <w:rFonts w:ascii="黑体" w:eastAsia="黑体" w:hAnsi="黑体" w:cstheme="minorBidi" w:hint="eastAsia"/>
          <w:sz w:val="28"/>
          <w:szCs w:val="28"/>
        </w:rPr>
        <w:t>四、项目总结</w:t>
      </w:r>
    </w:p>
    <w:p w14:paraId="05497195"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rPr>
        <w:t>抗疫期间，中粮期货和中粮祈德丰商贸利用自身衍生品专业优势和以往“保险+期货”业务的丰富经验，联合太平洋财险在第一时间作出响应，共同助力酒精生产企业渡过难关。从</w:t>
      </w:r>
      <w:r>
        <w:rPr>
          <w:rFonts w:asciiTheme="minorEastAsia" w:eastAsiaTheme="minorEastAsia" w:hAnsiTheme="minorEastAsia" w:cstheme="minorEastAsia" w:hint="eastAsia"/>
          <w:sz w:val="24"/>
          <w:szCs w:val="24"/>
          <w:lang w:eastAsia="zh-Hans"/>
        </w:rPr>
        <w:t>项目的实施效果看，该模式以较低的保费与期权交易相结合，有助于规避价格波动风险，助力实体经济稳定运行。此外，企业以直接购买保险的形式参与衍生品市场，无需搭建衍生品团队，财务结算便捷，大幅降低了成本与门槛。</w:t>
      </w:r>
    </w:p>
    <w:p w14:paraId="6D97016C"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rPr>
        <w:t>在抗击疫情的关键时期，</w:t>
      </w:r>
      <w:r>
        <w:rPr>
          <w:rFonts w:asciiTheme="minorEastAsia" w:eastAsiaTheme="minorEastAsia" w:hAnsiTheme="minorEastAsia" w:cstheme="minorEastAsia" w:hint="eastAsia"/>
          <w:sz w:val="24"/>
          <w:szCs w:val="24"/>
          <w:lang w:eastAsia="zh-Hans"/>
        </w:rPr>
        <w:t>该模式</w:t>
      </w:r>
      <w:r>
        <w:rPr>
          <w:rFonts w:asciiTheme="minorEastAsia" w:eastAsiaTheme="minorEastAsia" w:hAnsiTheme="minorEastAsia" w:cstheme="minorEastAsia" w:hint="eastAsia"/>
          <w:sz w:val="24"/>
          <w:szCs w:val="24"/>
        </w:rPr>
        <w:t>为实体企业提供金融风险管理服务，降低企业经营风险，助力实体企业全面恢复生产，为打赢疫情防控阻击战贡献</w:t>
      </w:r>
      <w:r>
        <w:rPr>
          <w:rFonts w:asciiTheme="minorEastAsia" w:eastAsiaTheme="minorEastAsia" w:hAnsiTheme="minorEastAsia" w:cstheme="minorEastAsia" w:hint="eastAsia"/>
          <w:sz w:val="24"/>
          <w:szCs w:val="24"/>
          <w:lang w:eastAsia="zh-Hans"/>
        </w:rPr>
        <w:t>了重要</w:t>
      </w:r>
      <w:r>
        <w:rPr>
          <w:rFonts w:asciiTheme="minorEastAsia" w:eastAsiaTheme="minorEastAsia" w:hAnsiTheme="minorEastAsia" w:cstheme="minorEastAsia" w:hint="eastAsia"/>
          <w:sz w:val="24"/>
          <w:szCs w:val="24"/>
        </w:rPr>
        <w:t>力量。</w:t>
      </w:r>
      <w:r w:rsidR="003A2DD2">
        <w:rPr>
          <w:rFonts w:asciiTheme="minorEastAsia" w:eastAsiaTheme="minorEastAsia" w:hAnsiTheme="minorEastAsia" w:cstheme="minorEastAsia" w:hint="eastAsia"/>
          <w:sz w:val="24"/>
          <w:szCs w:val="24"/>
        </w:rPr>
        <w:t>B公司</w:t>
      </w:r>
      <w:r>
        <w:rPr>
          <w:rFonts w:asciiTheme="minorEastAsia" w:eastAsiaTheme="minorEastAsia" w:hAnsiTheme="minorEastAsia" w:cstheme="minorEastAsia" w:hint="eastAsia"/>
          <w:sz w:val="24"/>
          <w:szCs w:val="24"/>
        </w:rPr>
        <w:t>负责人表示：“这</w:t>
      </w:r>
      <w:r w:rsidR="003A2DD2">
        <w:rPr>
          <w:rFonts w:asciiTheme="minorEastAsia" w:eastAsiaTheme="minorEastAsia" w:hAnsiTheme="minorEastAsia" w:cstheme="minorEastAsia" w:hint="eastAsia"/>
          <w:sz w:val="24"/>
          <w:szCs w:val="24"/>
        </w:rPr>
        <w:t>种‘</w:t>
      </w:r>
      <w:r>
        <w:rPr>
          <w:rFonts w:asciiTheme="minorEastAsia" w:eastAsiaTheme="minorEastAsia" w:hAnsiTheme="minorEastAsia" w:cstheme="minorEastAsia" w:hint="eastAsia"/>
          <w:sz w:val="24"/>
          <w:szCs w:val="24"/>
        </w:rPr>
        <w:t>保险+期货</w:t>
      </w:r>
      <w:r w:rsidR="003A2DD2">
        <w:rPr>
          <w:rFonts w:asciiTheme="minorEastAsia" w:eastAsiaTheme="minorEastAsia" w:hAnsiTheme="minorEastAsia" w:cstheme="minorEastAsia" w:hint="eastAsia"/>
          <w:sz w:val="24"/>
          <w:szCs w:val="24"/>
        </w:rPr>
        <w:t>’的</w:t>
      </w:r>
      <w:r>
        <w:rPr>
          <w:rFonts w:asciiTheme="minorEastAsia" w:eastAsiaTheme="minorEastAsia" w:hAnsiTheme="minorEastAsia" w:cstheme="minorEastAsia" w:hint="eastAsia"/>
          <w:sz w:val="24"/>
          <w:szCs w:val="24"/>
        </w:rPr>
        <w:t>方式非常好，可以针对突发疫情，切实做好风险防范，有利于玉米深加工企业加强预算管理，实现稳健经营的管理目标。”</w:t>
      </w:r>
    </w:p>
    <w:p w14:paraId="551E7116" w14:textId="77777777" w:rsidR="00F912AD" w:rsidRDefault="00E34E1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项目试点</w:t>
      </w:r>
      <w:r>
        <w:rPr>
          <w:rFonts w:asciiTheme="minorEastAsia" w:eastAsiaTheme="minorEastAsia" w:hAnsiTheme="minorEastAsia" w:cstheme="minorEastAsia" w:hint="eastAsia"/>
          <w:sz w:val="24"/>
          <w:szCs w:val="24"/>
          <w:lang w:eastAsia="zh-Hans"/>
        </w:rPr>
        <w:t>过程中，期权交易主体需通过市场调研，及时掌握现货企业、产业基本面和产业需求的最新动态，不断完善产品设计，准确估算行权价格，为项目开展的方向性、时效性和实用性保驾护航。</w:t>
      </w:r>
      <w:r>
        <w:rPr>
          <w:rFonts w:asciiTheme="minorEastAsia" w:eastAsiaTheme="minorEastAsia" w:hAnsiTheme="minorEastAsia" w:cstheme="minorEastAsia" w:hint="eastAsia"/>
          <w:sz w:val="24"/>
          <w:szCs w:val="24"/>
        </w:rPr>
        <w:t>自2016年“中央一号”文件明确提出稳步扩大“保险+期货”试点以来，实践过程不断验证了该模式的可行性，且十分具</w:t>
      </w:r>
      <w:r>
        <w:rPr>
          <w:rFonts w:asciiTheme="minorEastAsia" w:eastAsiaTheme="minorEastAsia" w:hAnsiTheme="minorEastAsia" w:cstheme="minorEastAsia" w:hint="eastAsia"/>
          <w:sz w:val="24"/>
          <w:szCs w:val="24"/>
          <w:lang w:eastAsia="zh-Hans"/>
        </w:rPr>
        <w:t>有推广潜力。风险管理子公司可以通过该模式作为切入点延伸风险管理服</w:t>
      </w:r>
      <w:r>
        <w:rPr>
          <w:rFonts w:asciiTheme="minorEastAsia" w:eastAsiaTheme="minorEastAsia" w:hAnsiTheme="minorEastAsia" w:cstheme="minorEastAsia" w:hint="eastAsia"/>
          <w:sz w:val="24"/>
          <w:szCs w:val="24"/>
          <w:lang w:eastAsia="zh-Hans"/>
        </w:rPr>
        <w:lastRenderedPageBreak/>
        <w:t>务，同时通过引入贸易订单、贷款等多种金融工具，积极为实体企业提供金融风险管理服务。期货全行业可以</w:t>
      </w:r>
      <w:r>
        <w:rPr>
          <w:rFonts w:asciiTheme="minorEastAsia" w:eastAsiaTheme="minorEastAsia" w:hAnsiTheme="minorEastAsia" w:cstheme="minorEastAsia" w:hint="eastAsia"/>
          <w:sz w:val="24"/>
          <w:szCs w:val="24"/>
        </w:rPr>
        <w:t>根据</w:t>
      </w:r>
      <w:r>
        <w:rPr>
          <w:rFonts w:asciiTheme="minorEastAsia" w:eastAsiaTheme="minorEastAsia" w:hAnsiTheme="minorEastAsia" w:cstheme="minorEastAsia" w:hint="eastAsia"/>
          <w:sz w:val="24"/>
          <w:szCs w:val="24"/>
          <w:lang w:eastAsia="zh-Hans"/>
        </w:rPr>
        <w:t>自身专业特色，拓宽项目渠道、扩大覆盖面，</w:t>
      </w:r>
      <w:r>
        <w:rPr>
          <w:rFonts w:asciiTheme="minorEastAsia" w:eastAsiaTheme="minorEastAsia" w:hAnsiTheme="minorEastAsia" w:cstheme="minorEastAsia" w:hint="eastAsia"/>
          <w:sz w:val="24"/>
          <w:szCs w:val="24"/>
        </w:rPr>
        <w:t>多维度</w:t>
      </w:r>
      <w:r>
        <w:rPr>
          <w:rFonts w:asciiTheme="minorEastAsia" w:eastAsiaTheme="minorEastAsia" w:hAnsiTheme="minorEastAsia" w:cstheme="minorEastAsia" w:hint="eastAsia"/>
          <w:sz w:val="24"/>
          <w:szCs w:val="24"/>
          <w:lang w:eastAsia="zh-Hans"/>
        </w:rPr>
        <w:t>探索创新服务模式，助力实体经济</w:t>
      </w:r>
      <w:r>
        <w:rPr>
          <w:rFonts w:asciiTheme="minorEastAsia" w:eastAsiaTheme="minorEastAsia" w:hAnsiTheme="minorEastAsia" w:cstheme="minorEastAsia" w:hint="eastAsia"/>
          <w:sz w:val="24"/>
          <w:szCs w:val="24"/>
        </w:rPr>
        <w:t>高质量发展</w:t>
      </w:r>
      <w:r>
        <w:rPr>
          <w:rFonts w:asciiTheme="minorEastAsia" w:eastAsiaTheme="minorEastAsia" w:hAnsiTheme="minorEastAsia" w:cstheme="minorEastAsia" w:hint="eastAsia"/>
          <w:sz w:val="24"/>
          <w:szCs w:val="24"/>
          <w:lang w:eastAsia="zh-Hans"/>
        </w:rPr>
        <w:t>。</w:t>
      </w:r>
    </w:p>
    <w:p w14:paraId="0BE545B7" w14:textId="77777777" w:rsidR="00F912AD" w:rsidRDefault="00F912AD">
      <w:pPr>
        <w:tabs>
          <w:tab w:val="left" w:pos="2534"/>
        </w:tabs>
        <w:spacing w:afterLines="50" w:after="156" w:line="312" w:lineRule="auto"/>
        <w:ind w:firstLineChars="200" w:firstLine="480"/>
        <w:rPr>
          <w:rFonts w:asciiTheme="minorEastAsia" w:eastAsiaTheme="minorEastAsia" w:hAnsiTheme="minorEastAsia" w:cstheme="minorEastAsia"/>
          <w:sz w:val="24"/>
          <w:szCs w:val="24"/>
        </w:rPr>
      </w:pPr>
    </w:p>
    <w:sectPr w:rsidR="00F91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2FCBE" w14:textId="77777777" w:rsidR="003C088A" w:rsidRDefault="003C088A" w:rsidP="00ED4F7F">
      <w:r>
        <w:separator/>
      </w:r>
    </w:p>
  </w:endnote>
  <w:endnote w:type="continuationSeparator" w:id="0">
    <w:p w14:paraId="6695EE1F" w14:textId="77777777" w:rsidR="003C088A" w:rsidRDefault="003C088A" w:rsidP="00ED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B7CC9" w14:textId="77777777" w:rsidR="003C088A" w:rsidRDefault="003C088A" w:rsidP="00ED4F7F">
      <w:r>
        <w:separator/>
      </w:r>
    </w:p>
  </w:footnote>
  <w:footnote w:type="continuationSeparator" w:id="0">
    <w:p w14:paraId="390C60C5" w14:textId="77777777" w:rsidR="003C088A" w:rsidRDefault="003C088A" w:rsidP="00ED4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g0MzMyNGJiMDEzODc5ODNlMGVjODViOWRkZjg1MDgifQ=="/>
  </w:docVars>
  <w:rsids>
    <w:rsidRoot w:val="3A6037CA"/>
    <w:rsid w:val="000C1CE0"/>
    <w:rsid w:val="00197FF4"/>
    <w:rsid w:val="00225A89"/>
    <w:rsid w:val="0032413C"/>
    <w:rsid w:val="003A2DD2"/>
    <w:rsid w:val="003C088A"/>
    <w:rsid w:val="009C5C15"/>
    <w:rsid w:val="00A8360D"/>
    <w:rsid w:val="00AE76CE"/>
    <w:rsid w:val="00DB78FD"/>
    <w:rsid w:val="00E34E1D"/>
    <w:rsid w:val="00ED4F7F"/>
    <w:rsid w:val="00F2423F"/>
    <w:rsid w:val="00F912AD"/>
    <w:rsid w:val="0832296B"/>
    <w:rsid w:val="0A294D5F"/>
    <w:rsid w:val="103F5738"/>
    <w:rsid w:val="15192154"/>
    <w:rsid w:val="15587681"/>
    <w:rsid w:val="1CEC54A8"/>
    <w:rsid w:val="1DA7571C"/>
    <w:rsid w:val="20EA2B1C"/>
    <w:rsid w:val="270F1BEC"/>
    <w:rsid w:val="2CD5407C"/>
    <w:rsid w:val="33B70EB6"/>
    <w:rsid w:val="36367A84"/>
    <w:rsid w:val="399F787C"/>
    <w:rsid w:val="39F34A4D"/>
    <w:rsid w:val="3A6037CA"/>
    <w:rsid w:val="3CD620AE"/>
    <w:rsid w:val="44406C48"/>
    <w:rsid w:val="4A9F0CFA"/>
    <w:rsid w:val="5499256F"/>
    <w:rsid w:val="5B1B551F"/>
    <w:rsid w:val="5EE775B3"/>
    <w:rsid w:val="65337227"/>
    <w:rsid w:val="66C36545"/>
    <w:rsid w:val="698D0B7D"/>
    <w:rsid w:val="72A963D1"/>
    <w:rsid w:val="79B51A50"/>
    <w:rsid w:val="7AE1180C"/>
    <w:rsid w:val="7F53711C"/>
    <w:rsid w:val="7F63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60A3"/>
  <w15:docId w15:val="{03D3627A-A5C9-4918-BFA0-4FF649DD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annotation subject"/>
    <w:basedOn w:val="a3"/>
    <w:next w:val="a3"/>
    <w:link w:val="a8"/>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Pr>
      <w:sz w:val="21"/>
      <w:szCs w:val="21"/>
    </w:rPr>
  </w:style>
  <w:style w:type="paragraph" w:customStyle="1" w:styleId="1">
    <w:name w:val="列表段落1"/>
    <w:basedOn w:val="a"/>
    <w:uiPriority w:val="34"/>
    <w:qFormat/>
    <w:pPr>
      <w:ind w:firstLineChars="200" w:firstLine="420"/>
    </w:pPr>
    <w:rPr>
      <w:szCs w:val="22"/>
    </w:rPr>
  </w:style>
  <w:style w:type="character" w:customStyle="1" w:styleId="a6">
    <w:name w:val="批注框文本 字符"/>
    <w:basedOn w:val="a0"/>
    <w:link w:val="a5"/>
    <w:rPr>
      <w:kern w:val="2"/>
      <w:sz w:val="18"/>
      <w:szCs w:val="18"/>
    </w:rPr>
  </w:style>
  <w:style w:type="character" w:customStyle="1" w:styleId="a4">
    <w:name w:val="批注文字 字符"/>
    <w:basedOn w:val="a0"/>
    <w:link w:val="a3"/>
    <w:qFormat/>
    <w:rPr>
      <w:kern w:val="2"/>
      <w:sz w:val="21"/>
    </w:rPr>
  </w:style>
  <w:style w:type="character" w:customStyle="1" w:styleId="a8">
    <w:name w:val="批注主题 字符"/>
    <w:basedOn w:val="a4"/>
    <w:link w:val="a7"/>
    <w:rPr>
      <w:b/>
      <w:bCs/>
      <w:kern w:val="2"/>
      <w:sz w:val="21"/>
    </w:rPr>
  </w:style>
  <w:style w:type="paragraph" w:styleId="ab">
    <w:name w:val="header"/>
    <w:basedOn w:val="a"/>
    <w:link w:val="ac"/>
    <w:rsid w:val="00ED4F7F"/>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ED4F7F"/>
    <w:rPr>
      <w:kern w:val="2"/>
      <w:sz w:val="18"/>
      <w:szCs w:val="18"/>
    </w:rPr>
  </w:style>
  <w:style w:type="paragraph" w:styleId="ad">
    <w:name w:val="footer"/>
    <w:basedOn w:val="a"/>
    <w:link w:val="ae"/>
    <w:rsid w:val="00ED4F7F"/>
    <w:pPr>
      <w:tabs>
        <w:tab w:val="center" w:pos="4153"/>
        <w:tab w:val="right" w:pos="8306"/>
      </w:tabs>
      <w:snapToGrid w:val="0"/>
      <w:jc w:val="left"/>
    </w:pPr>
    <w:rPr>
      <w:sz w:val="18"/>
      <w:szCs w:val="18"/>
    </w:rPr>
  </w:style>
  <w:style w:type="character" w:customStyle="1" w:styleId="ae">
    <w:name w:val="页脚 字符"/>
    <w:basedOn w:val="a0"/>
    <w:link w:val="ad"/>
    <w:rsid w:val="00ED4F7F"/>
    <w:rPr>
      <w:kern w:val="2"/>
      <w:sz w:val="18"/>
      <w:szCs w:val="18"/>
    </w:rPr>
  </w:style>
  <w:style w:type="paragraph" w:styleId="af">
    <w:name w:val="Revision"/>
    <w:hidden/>
    <w:uiPriority w:val="99"/>
    <w:semiHidden/>
    <w:rsid w:val="00AE76C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胡香君</dc:creator>
  <cp:lastModifiedBy>jiamiao he</cp:lastModifiedBy>
  <cp:revision>2</cp:revision>
  <dcterms:created xsi:type="dcterms:W3CDTF">2024-04-09T23:51:00Z</dcterms:created>
  <dcterms:modified xsi:type="dcterms:W3CDTF">2024-04-09T23:51:00Z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86D8EB045BA64056ADA16724F0411970</vt:lpwstr>
  </property>
  <property fmtid="{D5CDD505-2E9C-101B-9397-08002B2CF9AE}" pid="4" name="KSOSaveFontToCloudKey">
    <vt:lpwstr>364828096_btnclosed</vt:lpwstr>
  </property>
</Properties>
</file>